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51F4" w14:textId="7BA04FEC" w:rsidR="00553FC1" w:rsidRPr="00553FC1" w:rsidRDefault="00553FC1" w:rsidP="002529E9">
      <w:pPr>
        <w:pStyle w:val="Normaalweb"/>
        <w:spacing w:before="0" w:beforeAutospacing="0" w:after="0" w:afterAutospacing="0"/>
        <w:rPr>
          <w:rFonts w:ascii="Calibri" w:hAnsi="Calibri"/>
          <w:b/>
          <w:sz w:val="44"/>
          <w:szCs w:val="22"/>
        </w:rPr>
      </w:pPr>
      <w:r w:rsidRPr="00553FC1">
        <w:rPr>
          <w:rFonts w:ascii="Calibri" w:hAnsi="Calibri"/>
          <w:b/>
          <w:sz w:val="44"/>
          <w:szCs w:val="22"/>
        </w:rPr>
        <w:t>Opening HHK-organistendag 2015</w:t>
      </w:r>
    </w:p>
    <w:p w14:paraId="1F9D966B" w14:textId="26BCDE69" w:rsidR="00553FC1" w:rsidRPr="00553FC1" w:rsidRDefault="00553FC1" w:rsidP="002529E9">
      <w:pPr>
        <w:pStyle w:val="Normaalweb"/>
        <w:spacing w:before="0" w:beforeAutospacing="0" w:after="0" w:afterAutospacing="0"/>
        <w:rPr>
          <w:rFonts w:ascii="Calibri" w:hAnsi="Calibri"/>
          <w:i/>
          <w:sz w:val="32"/>
          <w:szCs w:val="22"/>
        </w:rPr>
      </w:pPr>
      <w:bookmarkStart w:id="0" w:name="_GoBack"/>
      <w:r w:rsidRPr="00553FC1">
        <w:rPr>
          <w:rFonts w:ascii="Calibri" w:hAnsi="Calibri"/>
          <w:i/>
          <w:sz w:val="32"/>
          <w:szCs w:val="22"/>
        </w:rPr>
        <w:t>Ds. A.A.F. van de Weg</w:t>
      </w:r>
    </w:p>
    <w:bookmarkEnd w:id="0"/>
    <w:p w14:paraId="46041EB3" w14:textId="77777777" w:rsidR="00553FC1" w:rsidRDefault="00553FC1" w:rsidP="002529E9">
      <w:pPr>
        <w:pStyle w:val="Normaalweb"/>
        <w:spacing w:before="0" w:beforeAutospacing="0" w:after="0" w:afterAutospacing="0"/>
        <w:rPr>
          <w:rFonts w:ascii="Calibri" w:hAnsi="Calibri"/>
          <w:sz w:val="22"/>
          <w:szCs w:val="22"/>
        </w:rPr>
      </w:pPr>
    </w:p>
    <w:p w14:paraId="7F19ED1F"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Welkom</w:t>
      </w:r>
    </w:p>
    <w:p w14:paraId="20AABBFE"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Lezen 2 Kron 5</w:t>
      </w:r>
    </w:p>
    <w:p w14:paraId="50FAD152"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Zingen Psalm 100</w:t>
      </w:r>
    </w:p>
    <w:p w14:paraId="413D0CA8"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w:t>
      </w:r>
    </w:p>
    <w:p w14:paraId="5E1B6903"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i/>
          <w:iCs/>
          <w:sz w:val="22"/>
          <w:szCs w:val="22"/>
        </w:rPr>
        <w:t xml:space="preserve">Bij vrome muziek is God altijd aanwezig met Zijn genade. </w:t>
      </w:r>
      <w:r>
        <w:rPr>
          <w:rFonts w:ascii="Calibri" w:hAnsi="Calibri"/>
          <w:sz w:val="22"/>
          <w:szCs w:val="22"/>
        </w:rPr>
        <w:t>(kanttekeningen Calovbijbel J.S. Bach op 2 Kron. 5:13)</w:t>
      </w:r>
    </w:p>
    <w:p w14:paraId="5C988C14"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w:t>
      </w:r>
    </w:p>
    <w:p w14:paraId="6342BBFF"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2 Kon. 5 is een indrukwekkend hoofdstuk, waarin beschreven wordt dat en hoe de ark des Heeren zijn rechtmatige plaats weer krijgt in de tempel van Salomo.</w:t>
      </w:r>
    </w:p>
    <w:p w14:paraId="12331296"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Er gebeurt wat als de lofzang klinkt en de lof op de Heere begeleid wordt door de allerbeste muziek. Het huis, namelijk het huis des HEEREN, wordt met een wolk vervuld De heerlijkheid des HEEREN vervult het huis van God. Zijn tegenwoordigheid is tastbaar aanwezig. De HEERE is aan deze plaats.</w:t>
      </w:r>
    </w:p>
    <w:p w14:paraId="4C5CBC03"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Maar natuurlijk, de ark is weer in de tempel. Dat is zeker de reden dat de Heere het huis met Zijn heerlijkheid vervult? Jawel, deels is dat de verklaring. Het is de hartelijke reactie, van harten die zich in de HEERE verblijden en dat met hun stem en op het instrument tot uiting brengen, waarom de HEERE reageert.</w:t>
      </w:r>
    </w:p>
    <w:p w14:paraId="1CA5AFC9"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Weet u wat het middel is om de heerlijkheid des HEEREN het huis van God te laten vervullen? De muziek die dienend aanwezig is om de lofzang gaande te houden. De Levieten, de zonen van Asaf en Heman en Jeduthun, de priesters. Allen die aanwezig zingen. Waarover?</w:t>
      </w:r>
      <w:r>
        <w:rPr>
          <w:rFonts w:ascii="Calibri" w:hAnsi="Calibri"/>
          <w:sz w:val="22"/>
          <w:szCs w:val="22"/>
        </w:rPr>
        <w:br/>
        <w:t>Dat Hij goed is, dat Zijn weldadigheid is tot in eeuwigheid. Daarom zongen we Psalm 100.</w:t>
      </w:r>
    </w:p>
    <w:p w14:paraId="1B556CB1"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w:t>
      </w:r>
    </w:p>
    <w:p w14:paraId="37377E65"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Ik heb er voor mezelf een aantal toepassingen uitgehaald, die ik met u deel:</w:t>
      </w:r>
    </w:p>
    <w:p w14:paraId="66F8B617"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w:t>
      </w:r>
    </w:p>
    <w:p w14:paraId="6E6E828B"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xml:space="preserve">1.als de muziek in de tempel dit hoge doel heeft - namelijk de lof op de HEERE -, dan is blijkbaar in de dienst van de Heere </w:t>
      </w:r>
      <w:r>
        <w:rPr>
          <w:rFonts w:ascii="Calibri" w:hAnsi="Calibri"/>
          <w:i/>
          <w:iCs/>
          <w:sz w:val="22"/>
          <w:szCs w:val="22"/>
        </w:rPr>
        <w:t>alleen het beste goed genoeg</w:t>
      </w:r>
      <w:r>
        <w:rPr>
          <w:rFonts w:ascii="Calibri" w:hAnsi="Calibri"/>
          <w:sz w:val="22"/>
          <w:szCs w:val="22"/>
        </w:rPr>
        <w:t xml:space="preserve">. De kwaliteit van ons musiceren heeft alles te maken met de royaliteit van Gods genade en trouw.  Die is groots en wijds en heerlijk. Wat een wonder dat de ark er weer is. Wat is het huis des HEEREN zonder de zichtbare tegenwoordigheid van de HEERE: de ark en het verzoendeksel? Daar past maar een reactie: Zijn goedertierenheid is tot in der eeuwigheid. </w:t>
      </w:r>
    </w:p>
    <w:p w14:paraId="209307CF"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Het lijkt me een spiegel die je jezelf als organist voortdurend voor mag houden: is er de intentie aanwezig om zo te musiceren? Vanwege Gods onverdiende genade en trouw, die de reden zijn waarom de gemeente tot op vandaag nog steeds samenkomt en de bediening der verzoening gestalte krijgt?</w:t>
      </w:r>
    </w:p>
    <w:p w14:paraId="439F46AC"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In de eredienst kan men op geen enkele wijze genoegen nemen met een minimum aan inspanning en voorbereiding. Dat geldt een dominee, dat geldt een organist. Zeker als we ervan uitgaan - en daar gaan we van uit - dat de liturgie van de eredienst meer behelst dan de Woordverkondiging. Die mag dan het centrum zijn van de eredienst - en met reden! - maar dat betekent nog niet dat de rest van de eredienst van minder belang zou zijn. Laat het zingen en musiceren, het geven van de gaven en de dienst der gebeden, een onderstreping zijn van waar de dienst mee begint: Onze hulp staat in de Naam van de HEERE…Die trouw houdt en eeuwig leeft!</w:t>
      </w:r>
    </w:p>
    <w:p w14:paraId="50671059"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xml:space="preserve">Dat vraagt inspanning en voorbereiding. En dat is ook een van de redenen waarom onze commissie jaarlijks deze dag belegt. Als stimulans om de muzikale talenten te gebruiken die de Heere gaf. </w:t>
      </w:r>
    </w:p>
    <w:p w14:paraId="1CEAF456"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Dat vraagt allereerst en allermeest een leven van genade. Zodat de inhoud van het gezongene niet vreemd is voor je eigen leven.</w:t>
      </w:r>
    </w:p>
    <w:p w14:paraId="7FF0C90B" w14:textId="77777777" w:rsidR="00651478" w:rsidRDefault="00651478" w:rsidP="002529E9">
      <w:pPr>
        <w:pStyle w:val="Normaalweb"/>
        <w:spacing w:before="0" w:beforeAutospacing="0" w:after="0" w:afterAutospacing="0"/>
        <w:rPr>
          <w:rFonts w:ascii="Calibri" w:hAnsi="Calibri"/>
          <w:sz w:val="22"/>
          <w:szCs w:val="22"/>
        </w:rPr>
      </w:pPr>
    </w:p>
    <w:p w14:paraId="7CAC3E16"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xml:space="preserve">2. Alle muziek heeft Gods lof ten doel. God woont op de lofzangen Israels. (Ps. 22:4) God heeft ons niet nodig. Dat zeggen we terecht. Als we dan ook maar aanvullen: maar Hij wil ons wel </w:t>
      </w:r>
      <w:r>
        <w:rPr>
          <w:rFonts w:ascii="Calibri" w:hAnsi="Calibri"/>
          <w:sz w:val="22"/>
          <w:szCs w:val="22"/>
        </w:rPr>
        <w:lastRenderedPageBreak/>
        <w:t>gebruiken.  Zo bezien is de taak van een organist nog breder dan alleen de eredienst doorgang te laten vinden. Hij mag namelijk dienen om de lof op de Heere te leiden. En dat is voorwaar geen geringe taak!</w:t>
      </w:r>
    </w:p>
    <w:p w14:paraId="76D6D0B1"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i/>
          <w:iCs/>
          <w:sz w:val="22"/>
          <w:szCs w:val="22"/>
          <w:shd w:val="clear" w:color="auto" w:fill="FFFFFF"/>
        </w:rPr>
        <w:t xml:space="preserve">Het moet den zang der Gemeente helpend dienen,  en er geheel op gericht zijn, om dien zang te beteren, te veredelen, te bezielen en te doordringen. Niet het orgel moet den zang overspelen, maar de zang moet te heerlijker uitkomen, omdat het orgel hem steunt. </w:t>
      </w:r>
      <w:r>
        <w:rPr>
          <w:rFonts w:ascii="Calibri" w:hAnsi="Calibri"/>
          <w:sz w:val="22"/>
          <w:szCs w:val="22"/>
          <w:shd w:val="clear" w:color="auto" w:fill="FFFFFF"/>
        </w:rPr>
        <w:t>(A. Kuyper)</w:t>
      </w:r>
    </w:p>
    <w:p w14:paraId="2A111C80"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Ik zou het ook met woorden van Calvijn kunnen zeggen, die ergens Plato met instemming citeert die vond dat muziek ‘</w:t>
      </w:r>
      <w:r>
        <w:rPr>
          <w:rFonts w:ascii="Calibri" w:hAnsi="Calibri"/>
          <w:i/>
          <w:iCs/>
          <w:sz w:val="22"/>
          <w:szCs w:val="22"/>
        </w:rPr>
        <w:t>een geheim en haast ongelofelijke kracht heeft om de harten naar de ene of juist naar de andere kant te bewegen</w:t>
      </w:r>
      <w:r>
        <w:rPr>
          <w:rFonts w:ascii="Calibri" w:hAnsi="Calibri"/>
          <w:sz w:val="22"/>
          <w:szCs w:val="22"/>
        </w:rPr>
        <w:t>’.</w:t>
      </w:r>
    </w:p>
    <w:p w14:paraId="6D7F1A43"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Wat een heerlijke taak om de lofzangen Israels te begeleiden. Om de boetepsalmen te ondersteunen. Om het vermelden van Gods trouw te onderstrepen. Het is iets geweldigs als je die heerlijke taak weer mag zien. Orgelspelen kan een sleur worden, zoals alle elementen in de eredienst. Maar het besef dat muziek in het licht van de Schrift een middel is om de lof op de Heere te onderstrepen, mag ons voortdurend een spiegel voorhouden: waarom dien ik als organist?</w:t>
      </w:r>
    </w:p>
    <w:p w14:paraId="78918064" w14:textId="77777777" w:rsidR="00651478" w:rsidRDefault="00651478" w:rsidP="002529E9">
      <w:pPr>
        <w:pStyle w:val="Normaalweb"/>
        <w:spacing w:before="0" w:beforeAutospacing="0" w:after="0" w:afterAutospacing="0"/>
        <w:rPr>
          <w:rFonts w:ascii="Calibri" w:hAnsi="Calibri"/>
          <w:sz w:val="22"/>
          <w:szCs w:val="22"/>
        </w:rPr>
      </w:pPr>
    </w:p>
    <w:p w14:paraId="401F6C48"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xml:space="preserve">3. Muziek is middel om Gods genade te onderstrepen. We zien iets wonderlijks gebeuren als er gezongen en gemusiceerd worden. De HEERE daalt af in een wolk. De heerlijkheid des HEEREN laat zich kennelijk ervaren. Machtig! Dat is pure genade: God wil bij Zijn volk wonen. Wat een genade. De ark is reeds aanwezig. Maar het wonderlijke is dat de heerlijkheid des HEEREN pas neerdaalt op het moment dat het volk reageert op de trouw en onverdiende goedheid van de Heere. </w:t>
      </w:r>
    </w:p>
    <w:p w14:paraId="1089EE62" w14:textId="77777777" w:rsidR="002529E9" w:rsidRDefault="002529E9" w:rsidP="002529E9">
      <w:pPr>
        <w:pStyle w:val="Normaalweb"/>
        <w:spacing w:before="0" w:beforeAutospacing="0" w:after="0" w:afterAutospacing="0"/>
        <w:rPr>
          <w:rFonts w:ascii="Calibri" w:hAnsi="Calibri"/>
          <w:sz w:val="22"/>
          <w:szCs w:val="22"/>
        </w:rPr>
      </w:pPr>
      <w:r>
        <w:rPr>
          <w:rFonts w:ascii="Calibri" w:hAnsi="Calibri"/>
          <w:sz w:val="22"/>
          <w:szCs w:val="22"/>
        </w:rPr>
        <w:t xml:space="preserve">Dat wonder wordt in allerlei toonaarden vertolkt in de prediking, bezongen in de liturgie, maar ook bespeeld op het orgel. Broeders organisten, zo kan het orgelspel het geheim van genade onderstrepen. Muziek wordt dan een trechter naar het hart (Calvijn). Wat nauwelijks in woorden te vatten is, wordt vertolkt door de muziek. </w:t>
      </w:r>
    </w:p>
    <w:p w14:paraId="168AF27B" w14:textId="77777777" w:rsidR="007B24A7" w:rsidRDefault="007B24A7"/>
    <w:sectPr w:rsidR="007B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E9"/>
    <w:rsid w:val="002529E9"/>
    <w:rsid w:val="00553FC1"/>
    <w:rsid w:val="00651478"/>
    <w:rsid w:val="007B2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8EE"/>
  <w15:chartTrackingRefBased/>
  <w15:docId w15:val="{BCEBF8E3-755D-4F57-BFDF-A4F51D67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29E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2520">
      <w:bodyDiv w:val="1"/>
      <w:marLeft w:val="0"/>
      <w:marRight w:val="0"/>
      <w:marTop w:val="0"/>
      <w:marBottom w:val="0"/>
      <w:divBdr>
        <w:top w:val="none" w:sz="0" w:space="0" w:color="auto"/>
        <w:left w:val="none" w:sz="0" w:space="0" w:color="auto"/>
        <w:bottom w:val="none" w:sz="0" w:space="0" w:color="auto"/>
        <w:right w:val="none" w:sz="0" w:space="0" w:color="auto"/>
      </w:divBdr>
      <w:divsChild>
        <w:div w:id="1804419854">
          <w:marLeft w:val="0"/>
          <w:marRight w:val="0"/>
          <w:marTop w:val="0"/>
          <w:marBottom w:val="0"/>
          <w:divBdr>
            <w:top w:val="none" w:sz="0" w:space="0" w:color="auto"/>
            <w:left w:val="none" w:sz="0" w:space="0" w:color="auto"/>
            <w:bottom w:val="none" w:sz="0" w:space="0" w:color="auto"/>
            <w:right w:val="none" w:sz="0" w:space="0" w:color="auto"/>
          </w:divBdr>
          <w:divsChild>
            <w:div w:id="2042511451">
              <w:marLeft w:val="0"/>
              <w:marRight w:val="0"/>
              <w:marTop w:val="0"/>
              <w:marBottom w:val="0"/>
              <w:divBdr>
                <w:top w:val="none" w:sz="0" w:space="0" w:color="auto"/>
                <w:left w:val="none" w:sz="0" w:space="0" w:color="auto"/>
                <w:bottom w:val="none" w:sz="0" w:space="0" w:color="auto"/>
                <w:right w:val="none" w:sz="0" w:space="0" w:color="auto"/>
              </w:divBdr>
              <w:divsChild>
                <w:div w:id="1766613145">
                  <w:marLeft w:val="0"/>
                  <w:marRight w:val="0"/>
                  <w:marTop w:val="0"/>
                  <w:marBottom w:val="0"/>
                  <w:divBdr>
                    <w:top w:val="none" w:sz="0" w:space="0" w:color="auto"/>
                    <w:left w:val="none" w:sz="0" w:space="0" w:color="auto"/>
                    <w:bottom w:val="none" w:sz="0" w:space="0" w:color="auto"/>
                    <w:right w:val="none" w:sz="0" w:space="0" w:color="auto"/>
                  </w:divBdr>
                  <w:divsChild>
                    <w:div w:id="1257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en Henriët Pool</dc:creator>
  <cp:keywords/>
  <dc:description/>
  <cp:lastModifiedBy>Henri en Henriët Pool</cp:lastModifiedBy>
  <cp:revision>3</cp:revision>
  <dcterms:created xsi:type="dcterms:W3CDTF">2016-01-20T21:26:00Z</dcterms:created>
  <dcterms:modified xsi:type="dcterms:W3CDTF">2016-01-20T22:25:00Z</dcterms:modified>
</cp:coreProperties>
</file>